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/>
          <w:bCs/>
          <w:sz w:val="24"/>
          <w:szCs w:val="24"/>
          <w:lang w:eastAsia="zh-CN"/>
        </w:rPr>
        <w:t>附件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cs="Times New Roman"/>
          <w:b/>
          <w:bCs/>
          <w:sz w:val="44"/>
          <w:szCs w:val="44"/>
        </w:rPr>
      </w:pPr>
      <w:r>
        <w:rPr>
          <w:rFonts w:hint="default" w:ascii="Times New Roman" w:hAnsi="Times New Roman" w:cs="Times New Roman"/>
          <w:b/>
          <w:bCs/>
          <w:sz w:val="44"/>
          <w:szCs w:val="44"/>
        </w:rPr>
        <w:t>洛阳市</w:t>
      </w:r>
      <w:r>
        <w:rPr>
          <w:rFonts w:hint="default" w:ascii="Times New Roman" w:hAnsi="Times New Roman" w:cs="Times New Roman"/>
          <w:b/>
          <w:bCs/>
          <w:sz w:val="44"/>
          <w:szCs w:val="44"/>
          <w:lang w:eastAsia="zh-CN"/>
        </w:rPr>
        <w:t>揭榜挂帅重大</w:t>
      </w:r>
      <w:r>
        <w:rPr>
          <w:rFonts w:hint="default" w:ascii="Times New Roman" w:hAnsi="Times New Roman" w:cs="Times New Roman"/>
          <w:b/>
          <w:bCs/>
          <w:sz w:val="44"/>
          <w:szCs w:val="44"/>
        </w:rPr>
        <w:t>科技</w:t>
      </w:r>
      <w:r>
        <w:rPr>
          <w:rFonts w:hint="default" w:ascii="Times New Roman" w:hAnsi="Times New Roman" w:cs="Times New Roman"/>
          <w:b/>
          <w:bCs/>
          <w:sz w:val="44"/>
          <w:szCs w:val="44"/>
          <w:lang w:eastAsia="zh-CN"/>
        </w:rPr>
        <w:t>创新</w:t>
      </w:r>
      <w:r>
        <w:rPr>
          <w:rFonts w:hint="default" w:ascii="Times New Roman" w:hAnsi="Times New Roman" w:cs="Times New Roman"/>
          <w:b/>
          <w:bCs/>
          <w:sz w:val="44"/>
          <w:szCs w:val="44"/>
        </w:rPr>
        <w:t>项目</w:t>
      </w:r>
    </w:p>
    <w:p>
      <w:pPr>
        <w:jc w:val="center"/>
        <w:rPr>
          <w:rFonts w:hint="default" w:ascii="Times New Roman" w:hAnsi="Times New Roman" w:cs="Times New Roman"/>
          <w:b/>
          <w:bCs/>
          <w:sz w:val="44"/>
          <w:szCs w:val="44"/>
          <w:lang w:eastAsia="zh-CN"/>
        </w:rPr>
      </w:pPr>
      <w:r>
        <w:rPr>
          <w:rFonts w:hint="eastAsia" w:ascii="Times New Roman" w:hAnsi="Times New Roman" w:cs="Times New Roman"/>
          <w:b/>
          <w:bCs/>
          <w:sz w:val="44"/>
          <w:szCs w:val="44"/>
          <w:lang w:eastAsia="zh-CN"/>
        </w:rPr>
        <w:t>（需求方）</w:t>
      </w:r>
      <w:r>
        <w:rPr>
          <w:rFonts w:hint="default" w:ascii="Times New Roman" w:hAnsi="Times New Roman" w:cs="Times New Roman"/>
          <w:b/>
          <w:bCs/>
          <w:sz w:val="44"/>
          <w:szCs w:val="44"/>
          <w:lang w:eastAsia="zh-CN"/>
        </w:rPr>
        <w:t>申报指南</w:t>
      </w:r>
    </w:p>
    <w:bookmarkEnd w:id="0"/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根据工作部署，现发布洛阳市揭榜挂帅重大科技创新项目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（需求方）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申报指南。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揭榜挂帅重大科技创新项目总体目标是：优化揭榜挂帅制度，完善揭榜挂帅需求征集、发布机制，充分利用国内外、省内外优势创新资源，抢抓“风口”产业机遇，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提升产业自主创新能力和核心竞争力，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支撑产业高质量发展。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一、申报类别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揭榜挂帅项目分技术攻关和成果转化两大类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7"/>
        <w:widowControl/>
        <w:spacing w:before="0" w:beforeAutospacing="0" w:after="0" w:afterAutospacing="0" w:line="600" w:lineRule="exact"/>
        <w:ind w:firstLine="643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技术攻关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类。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主要由市内龙头、骨干企业提出技术难题或重大需求，经市科技局研究后予以发榜，由市内外有研究开发能力的高校、科研院所、新型研发机构、企业进行揭榜攻关。</w:t>
      </w:r>
    </w:p>
    <w:p>
      <w:pPr>
        <w:pStyle w:val="7"/>
        <w:widowControl/>
        <w:spacing w:before="0" w:beforeAutospacing="0" w:after="0" w:afterAutospacing="0" w:line="600" w:lineRule="exact"/>
        <w:ind w:firstLine="643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成果转化类。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主要由市内外高校、科研院所、新型研发机构、企业提供比较成熟且是我市重点支持的风口产业的重大科技成果，经市科技局研究后予以发榜，由有技术需求、应用场景且符合应用条件的市内企业进行揭榜转化。</w:t>
      </w:r>
    </w:p>
    <w:p>
      <w:pPr>
        <w:pStyle w:val="7"/>
        <w:widowControl/>
        <w:numPr>
          <w:ilvl w:val="0"/>
          <w:numId w:val="1"/>
        </w:numPr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申报领域</w:t>
      </w:r>
    </w:p>
    <w:p>
      <w:pPr>
        <w:pStyle w:val="7"/>
        <w:widowControl/>
        <w:spacing w:before="0" w:beforeAutospacing="0" w:after="0" w:afterAutospacing="0" w:line="600" w:lineRule="exact"/>
        <w:ind w:firstLine="641" w:firstLineChars="200"/>
        <w:rPr>
          <w:rFonts w:hint="default" w:ascii="Times New Roman" w:hAnsi="Times New Roman" w:eastAsia="华文楷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华文楷体" w:cs="Times New Roman"/>
          <w:b/>
          <w:bCs/>
          <w:sz w:val="32"/>
          <w:szCs w:val="32"/>
          <w:lang w:eastAsia="zh-CN"/>
        </w:rPr>
        <w:t>（一）</w:t>
      </w:r>
      <w:r>
        <w:rPr>
          <w:rFonts w:hint="eastAsia" w:ascii="Times New Roman" w:hAnsi="Times New Roman" w:eastAsia="华文楷体" w:cs="Times New Roman"/>
          <w:b/>
          <w:bCs/>
          <w:sz w:val="32"/>
          <w:szCs w:val="32"/>
          <w:lang w:eastAsia="zh-CN"/>
        </w:rPr>
        <w:t>六大</w:t>
      </w:r>
      <w:r>
        <w:rPr>
          <w:rFonts w:hint="default" w:ascii="Times New Roman" w:hAnsi="Times New Roman" w:eastAsia="华文楷体" w:cs="Times New Roman"/>
          <w:b/>
          <w:bCs/>
          <w:sz w:val="32"/>
          <w:szCs w:val="32"/>
          <w:lang w:eastAsia="zh-CN"/>
        </w:rPr>
        <w:t>“风口”产业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智能装备产业：机器人、智能装备、关键零部件领域；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电子信息产业：电子功能材料、电子元器件领域；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新材料产业：钨钼钛、铝铜、精细化工领域；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新能源产业：新能源汽车、氢能与储能领域；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生物医药产业：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生物医药领域；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数字经济产业：大数据、“5G+”工业互联网领域。</w:t>
      </w:r>
    </w:p>
    <w:p>
      <w:pPr>
        <w:pStyle w:val="7"/>
        <w:widowControl/>
        <w:spacing w:before="0" w:beforeAutospacing="0" w:after="0" w:afterAutospacing="0" w:line="600" w:lineRule="exact"/>
        <w:ind w:firstLine="641" w:firstLineChars="200"/>
        <w:rPr>
          <w:rFonts w:hint="eastAsia" w:ascii="Times New Roman" w:hAnsi="Times New Roman" w:eastAsia="华文楷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华文楷体" w:cs="Times New Roman"/>
          <w:b/>
          <w:bCs/>
          <w:sz w:val="32"/>
          <w:szCs w:val="32"/>
          <w:lang w:val="en-US" w:eastAsia="zh-CN"/>
        </w:rPr>
        <w:t>（二）</w:t>
      </w:r>
      <w:r>
        <w:rPr>
          <w:rFonts w:hint="eastAsia" w:ascii="Times New Roman" w:hAnsi="Times New Roman" w:eastAsia="华文楷体" w:cs="Times New Roman"/>
          <w:b/>
          <w:bCs/>
          <w:sz w:val="32"/>
          <w:szCs w:val="32"/>
          <w:lang w:val="en-US" w:eastAsia="zh-CN"/>
        </w:rPr>
        <w:t>三大主导产业与四大未来产业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主导产业：先进装备制造、新材料、高端石化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未来产业：储能与氢能、钨钼钛关键战略材料、生物制品与健康服务、大数据和智能机器人</w:t>
      </w:r>
    </w:p>
    <w:p>
      <w:pPr>
        <w:pStyle w:val="7"/>
        <w:widowControl/>
        <w:spacing w:before="0" w:beforeAutospacing="0" w:after="0" w:afterAutospacing="0" w:line="600" w:lineRule="exact"/>
        <w:ind w:firstLine="641" w:firstLineChars="200"/>
        <w:rPr>
          <w:rFonts w:hint="default" w:ascii="Times New Roman" w:hAnsi="Times New Roman" w:eastAsia="华文楷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华文楷体" w:cs="Times New Roman"/>
          <w:b/>
          <w:bCs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华文楷体" w:cs="Times New Roman"/>
          <w:b/>
          <w:bCs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华文楷体" w:cs="Times New Roman"/>
          <w:b/>
          <w:bCs/>
          <w:sz w:val="32"/>
          <w:szCs w:val="32"/>
          <w:lang w:val="en-US" w:eastAsia="zh-CN"/>
        </w:rPr>
        <w:t>）九大产业集群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农机产业集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群：动力机械、收获机械、农机具等领域；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轴承产业集群：锻造、核心零部件、高端轴承等领域；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机器人产业集群：机器人本体、先进控制器、高精密伺服驱动系统、高性能减速器等领域；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铝钛产业集群：家用铝箔、电池箔、钛材熔炼、锻造等领域；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耐火材料产业集群：纳米绝热材料、环保纤维及模块、高品质轻质隔热砖等领域；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新能源产业集群：光伏玻璃、光伏组件、硅光伏、电池片等领域；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光电电子器件产业集群：电路板、光纤光缆、关键元器件等领域；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精细化工产业集群：先进高分子材料、化工新材料、高端精细化工产品等领域；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节能环保产业集群：节能环保装备制造、绿色建材、装配式建筑等领域。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ind w:firstLine="641" w:firstLineChars="200"/>
        <w:rPr>
          <w:rFonts w:hint="eastAsia" w:ascii="华文楷体" w:hAnsi="华文楷体" w:eastAsia="华文楷体" w:cs="华文楷体"/>
          <w:b/>
          <w:bCs/>
          <w:sz w:val="32"/>
          <w:szCs w:val="32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32"/>
          <w:szCs w:val="32"/>
          <w:lang w:val="en-US" w:eastAsia="zh-CN"/>
        </w:rPr>
        <w:t>（四）其他领域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现代农业：农作物育种、畜禽重大疫病防控与高效安全养殖、粮食丰产增效、现代食品加工等领域；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公共安全：食品安全、资源环境、平安建设、气象、消防等领域。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</w:rPr>
        <w:t>申报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条件和要求</w:t>
      </w:r>
    </w:p>
    <w:p>
      <w:pPr>
        <w:pStyle w:val="7"/>
        <w:widowControl/>
        <w:numPr>
          <w:ilvl w:val="0"/>
          <w:numId w:val="0"/>
        </w:numPr>
        <w:spacing w:before="0" w:beforeAutospacing="0" w:after="0" w:afterAutospacing="0" w:line="600" w:lineRule="exac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洛阳市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揭榜挂帅项目申报条件见《洛阳市揭榜挂帅重大科技创新项目管理办法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（试行）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）。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lang w:eastAsia="zh-CN"/>
        </w:rPr>
        <w:t>具体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</w:rPr>
        <w:t>申报方向、申报条件、申报要求见附件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</w:rPr>
        <w:t>。</w:t>
      </w:r>
    </w:p>
    <w:p>
      <w:pPr>
        <w:pStyle w:val="7"/>
        <w:shd w:val="clear" w:color="auto" w:fill="FFFFFF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 w:cs="Times New Roman"/>
          <w:sz w:val="32"/>
          <w:szCs w:val="32"/>
          <w:shd w:val="clear" w:color="auto" w:fill="FFFFFF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  <w:t>、申报材料</w:t>
      </w:r>
    </w:p>
    <w:p>
      <w:pPr>
        <w:pStyle w:val="7"/>
        <w:shd w:val="clear" w:color="auto" w:fill="FFFFFF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洛阳市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揭榜挂帅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（技术攻关类）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填写《洛阳市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揭榜挂帅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申请表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技术攻关类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）》（附件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），洛阳市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揭榜挂帅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成果转化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类）填写《洛阳市科技发展计划项目申请表（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成果转化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类）》（见附件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pStyle w:val="7"/>
        <w:shd w:val="clear" w:color="auto" w:fill="FFFFFF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黑体" w:cs="Times New Roman"/>
          <w:sz w:val="32"/>
          <w:szCs w:val="32"/>
        </w:rPr>
        <w:t>、申报注意事项</w:t>
      </w:r>
    </w:p>
    <w:p>
      <w:pPr>
        <w:pStyle w:val="7"/>
        <w:shd w:val="clear" w:color="auto" w:fill="FFFFFF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1、申报单位应认真阅读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管理办法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，认真查看项目申报所要求的必要条件，审慎选择申报项目类别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各单位须对申请表中材料的真实性负责。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、同一项目只能选择申报一个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类别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（技术攻关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类与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成果转化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二选一）。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3、技术攻关类须注明技术需求、支持揭榜方研发金额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（榜单价格）；成果转化类须注明成果的主要技术、成果转化的价值（榜单价格）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4、市科技局择优发布需求榜，从发榜项目中择优予以财政资金支持，一般项目只发榜不予以资金支持。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5、凡申请项目须填写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《洛阳市重大科技项目入库登记表》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（见附件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），电子版发送至市科技局邮箱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6、已经有合作对象的项目不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申报揭榜挂帅项目。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申报程序</w:t>
      </w:r>
    </w:p>
    <w:p>
      <w:pPr>
        <w:pStyle w:val="7"/>
        <w:widowControl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_GB2312" w:cs="Times New Roman"/>
          <w:color w:val="FF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项目按财政（财务）隶属关系申报。财政隶属关系属于市直部门（或单位）的直接报市科技局、财政局，财政隶属关系不属于市直部门（或单位）的均通过所在地科技、财政部门逐级申报。县区科技和财政部门应当对所属单位报送的项目进行认真审核把关，负责审核项目申报材料相关证明文件的原件，确保项目的真实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，择优推荐，并联合行文或共同盖章报送市科技局、市财政局。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FF885F"/>
    <w:multiLevelType w:val="singleLevel"/>
    <w:tmpl w:val="F7FF885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5B2574"/>
    <w:rsid w:val="35F9DB77"/>
    <w:rsid w:val="3EAB0813"/>
    <w:rsid w:val="4DB7DCBD"/>
    <w:rsid w:val="54B304AB"/>
    <w:rsid w:val="5E0C3934"/>
    <w:rsid w:val="5FBB76CC"/>
    <w:rsid w:val="5FE4F524"/>
    <w:rsid w:val="5FFD5191"/>
    <w:rsid w:val="66AF76BF"/>
    <w:rsid w:val="679F6BD0"/>
    <w:rsid w:val="67DDAD8B"/>
    <w:rsid w:val="6EFF92DC"/>
    <w:rsid w:val="72EFC329"/>
    <w:rsid w:val="775E4881"/>
    <w:rsid w:val="777518FC"/>
    <w:rsid w:val="77E710B4"/>
    <w:rsid w:val="77E71931"/>
    <w:rsid w:val="7AFE69D8"/>
    <w:rsid w:val="7EFC8BBA"/>
    <w:rsid w:val="7EFFB72D"/>
    <w:rsid w:val="7F6F6FC5"/>
    <w:rsid w:val="7F77F990"/>
    <w:rsid w:val="7F7FBE62"/>
    <w:rsid w:val="7FD47592"/>
    <w:rsid w:val="7FF8A2BD"/>
    <w:rsid w:val="7FFE4C8D"/>
    <w:rsid w:val="7FFFE8E3"/>
    <w:rsid w:val="8FFC6683"/>
    <w:rsid w:val="B3C381B9"/>
    <w:rsid w:val="B7BF31E9"/>
    <w:rsid w:val="B95FE94E"/>
    <w:rsid w:val="BBFAE82F"/>
    <w:rsid w:val="BD30AE7B"/>
    <w:rsid w:val="BDF9E128"/>
    <w:rsid w:val="BFDD24DF"/>
    <w:rsid w:val="C31ED36C"/>
    <w:rsid w:val="CED6E55C"/>
    <w:rsid w:val="D7E31614"/>
    <w:rsid w:val="DFBE78E5"/>
    <w:rsid w:val="DFDE4AC9"/>
    <w:rsid w:val="DFFE4863"/>
    <w:rsid w:val="F6EA623D"/>
    <w:rsid w:val="F7FE55E2"/>
    <w:rsid w:val="FDBFED53"/>
    <w:rsid w:val="FFA05FB4"/>
    <w:rsid w:val="FFA74DFB"/>
    <w:rsid w:val="FFC9E2AA"/>
    <w:rsid w:val="FFD2E6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  <w:rPr>
      <w:rFonts w:eastAsia="宋体"/>
      <w:sz w:val="21"/>
      <w:szCs w:val="24"/>
    </w:rPr>
  </w:style>
  <w:style w:type="paragraph" w:styleId="3">
    <w:name w:val="Body Text 2"/>
    <w:basedOn w:val="1"/>
    <w:unhideWhenUsed/>
    <w:qFormat/>
    <w:uiPriority w:val="99"/>
    <w:pPr>
      <w:spacing w:after="120" w:line="480" w:lineRule="auto"/>
    </w:pPr>
    <w:rPr>
      <w:rFonts w:eastAsia="宋体"/>
      <w:sz w:val="21"/>
      <w:szCs w:val="24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12.6666666666667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2014-10-31T12:08:00Z</dcterms:created>
  <dc:creator>Administrator</dc:creator>
  <cp:lastModifiedBy>Ricaron</cp:lastModifiedBy>
  <dcterms:modified xsi:type="dcterms:W3CDTF">2022-04-29T03:22:20Z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961969224B8648C984F037C5167138A0</vt:lpwstr>
  </property>
</Properties>
</file>